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2023 288 vom 25. September 2024</w:t>
      </w:r>
    </w:p>
    <w:p>
      <w:r>
        <w:t>BL Gerichte, 2024-09-25, DE</w:t>
      </w:r>
    </w:p>
    <w:p>
      <w:r>
        <w:rPr>
          <w:b/>
        </w:rPr>
        <w:t xml:space="preserve">Quelle: </w:t>
      </w:r>
      <w:r>
        <w:t>https://mcp.opencaselaw.ch/entscheid/bl_gerichte_810 2023 288</w:t>
      </w:r>
    </w:p>
    <w:p>
      <w:r>
        <w:t>FR: BL_GERICHTE 810 2023 288 du 25 septembre 2024</w:t>
      </w:r>
    </w:p>
    <w:p>
      <w:r>
        <w:t>IT: BL_GERICHTE 810 2023 288 del 25 settembre 2024</w:t>
      </w:r>
    </w:p>
    <w:p>
      <w:pPr>
        <w:pStyle w:val="Heading2"/>
      </w:pPr>
      <w:r>
        <w:t>Regeste</w:t>
      </w:r>
    </w:p>
    <w:p>
      <w:r>
        <w:t>Beschäftigungsverbot von Arbeitnehmenden am Sonntag / Gleichbehandlung von Betrieben für Reisende an Anlagen des öffentlichen Verkehrs (Bahnhöfe, Bus- und Tramstationen etc.)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AG , Beschwerdeführerin</w:t>
      </w:r>
    </w:p>
    <w:p>
      <w:r>
        <w:rPr>
          <w:b/>
        </w:rPr>
        <w:t>E. 2</w:t>
      </w:r>
    </w:p>
    <w:p>
      <w:r>
        <w:t>Mit der verwaltungsgerichtlichen Beschwerde können gemäss § 45 Abs. 1 lit. a und b VPO Rechtsverletzungen einschliesslich Überschreitung, Unterschreitung oder Missbrauch des Ermessens sowie die unrichtige oder unvollständige Feststellung des Sachverhalts gerügt werden. Die Beurteilung der Angemessenheit ist dem Kantonsgericht dagegen – abgesehen von hier nicht vorliegenden Ausnahmefällen – untersagt (§ 45 Abs. 1 lit. c VPO).</w:t>
      </w:r>
    </w:p>
    <w:p>
      <w:r>
        <w:rPr>
          <w:b/>
        </w:rPr>
        <w:t>E. 3</w:t>
      </w:r>
    </w:p>
    <w:p>
      <w:r>
        <w:t>Die Verfahrenskosten in der Höhe von Fr. 2'500.-- werden dem Regierungsrat auferlegt. Der geleistete Kostenvorschuss in der Höhe von Fr. 2'000.-- wird den Beschwerdeführerinnen zurückerstattet.</w:t>
      </w:r>
    </w:p>
    <w:p>
      <w:r>
        <w:rPr>
          <w:b/>
        </w:rPr>
        <w:t>E. 4</w:t>
      </w:r>
    </w:p>
    <w:p>
      <w:r>
        <w:t>Der Regierungsrat hat den Beschwerdeführerinnen eine Parteientschädigung in der Höhe von Fr. 13'425.30 (inkl. Auslagen und 7.7 % bzw. 8.1 % MWST) auszurichten. Vizepräsident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